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9DDF6B8" w:rsidR="00F92268" w:rsidRPr="00FF66BF" w:rsidRDefault="00631A89" w:rsidP="00F246C7">
            <w:pPr>
              <w:pStyle w:val="RefTableHeader"/>
            </w:pPr>
            <w:r>
              <w:t>6288-A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9E56C50" w:rsidR="004B15BB" w:rsidRPr="00B611DD" w:rsidRDefault="00631A89" w:rsidP="007E5C16">
      <w:pPr>
        <w:pStyle w:val="Heading1"/>
      </w:pPr>
      <w:r w:rsidRPr="00631A89">
        <w:t>Specialty Guideline Management</w:t>
      </w:r>
      <w:r w:rsidR="008C54D9" w:rsidRPr="00BD1CC1">
        <w:br/>
      </w:r>
      <w:proofErr w:type="spellStart"/>
      <w:r w:rsidRPr="00B611DD">
        <w:t>Fabhalta</w:t>
      </w:r>
      <w:proofErr w:type="spellEnd"/>
    </w:p>
    <w:p w14:paraId="78861C92" w14:textId="4DDA1E67" w:rsidR="00203468" w:rsidRPr="00B611DD" w:rsidRDefault="00C64534" w:rsidP="008E0F0D">
      <w:pPr>
        <w:pStyle w:val="Heading2"/>
      </w:pPr>
      <w:r w:rsidRPr="00B611DD">
        <w:t xml:space="preserve">Products Referenced by this </w:t>
      </w:r>
      <w:r w:rsidR="00501602" w:rsidRPr="00B611DD">
        <w:t>Document</w:t>
      </w:r>
    </w:p>
    <w:p w14:paraId="07868740" w14:textId="7195E261" w:rsidR="00725714" w:rsidRPr="00B611DD" w:rsidRDefault="00D82D85" w:rsidP="00631A89">
      <w:pPr>
        <w:pStyle w:val="BodyText"/>
      </w:pPr>
      <w:r w:rsidRPr="00B611DD">
        <w:t xml:space="preserve">Drugs that are listed in the </w:t>
      </w:r>
      <w:r w:rsidR="000315F1" w:rsidRPr="00B611DD">
        <w:t>following table</w:t>
      </w:r>
      <w:r w:rsidRPr="00B611DD">
        <w:t xml:space="preserve"> include both brand and generic and all dosage forms and strengths unless otherwise stated. </w:t>
      </w:r>
      <w:r w:rsidR="006D5869">
        <w:rPr>
          <w:rStyle w:val="ui-provider"/>
        </w:rPr>
        <w:t>Over-the-counter (OTC)</w:t>
      </w:r>
      <w:r w:rsidRPr="00B611DD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B611DD" w:rsidRPr="00B611DD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611DD" w:rsidRDefault="005B4D7C">
            <w:pPr>
              <w:pStyle w:val="TableHeader"/>
            </w:pPr>
            <w:r w:rsidRPr="00B611DD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611DD" w:rsidRDefault="005B4D7C">
            <w:pPr>
              <w:pStyle w:val="TableHeader"/>
            </w:pPr>
            <w:r w:rsidRPr="00B611DD">
              <w:t>Generic Name</w:t>
            </w:r>
          </w:p>
        </w:tc>
      </w:tr>
      <w:tr w:rsidR="00B611DD" w:rsidRPr="00B611DD" w14:paraId="7742B1EC" w14:textId="77777777">
        <w:trPr>
          <w:cantSplit/>
        </w:trPr>
        <w:tc>
          <w:tcPr>
            <w:tcW w:w="5265" w:type="dxa"/>
          </w:tcPr>
          <w:p w14:paraId="4DED0C9B" w14:textId="509922A1" w:rsidR="005B4D7C" w:rsidRPr="00B611DD" w:rsidRDefault="00631A89">
            <w:pPr>
              <w:pStyle w:val="TableDataUnpadded"/>
            </w:pPr>
            <w:proofErr w:type="spellStart"/>
            <w:r w:rsidRPr="00B611DD">
              <w:t>Fabhalta</w:t>
            </w:r>
            <w:proofErr w:type="spellEnd"/>
          </w:p>
        </w:tc>
        <w:tc>
          <w:tcPr>
            <w:tcW w:w="5595" w:type="dxa"/>
          </w:tcPr>
          <w:p w14:paraId="1A09710D" w14:textId="4ECAD9B0" w:rsidR="005B4D7C" w:rsidRPr="00B611DD" w:rsidRDefault="00631A89">
            <w:pPr>
              <w:pStyle w:val="TableDataUnpadded"/>
            </w:pPr>
            <w:proofErr w:type="spellStart"/>
            <w:r w:rsidRPr="00B611DD">
              <w:t>iptacopan</w:t>
            </w:r>
            <w:proofErr w:type="spellEnd"/>
          </w:p>
        </w:tc>
      </w:tr>
    </w:tbl>
    <w:p w14:paraId="14CE6108" w14:textId="57A966A3" w:rsidR="00FC1AAD" w:rsidRPr="00B611DD" w:rsidRDefault="00ED052F" w:rsidP="00AA2A94">
      <w:pPr>
        <w:pStyle w:val="Heading2"/>
        <w:tabs>
          <w:tab w:val="left" w:pos="9540"/>
        </w:tabs>
      </w:pPr>
      <w:r w:rsidRPr="00B611DD">
        <w:t>Indications</w:t>
      </w:r>
    </w:p>
    <w:p w14:paraId="720CA1E2" w14:textId="7E25055E" w:rsidR="00631A89" w:rsidRPr="00B611DD" w:rsidRDefault="00631A89" w:rsidP="00631A89">
      <w:pPr>
        <w:pStyle w:val="BodyText"/>
      </w:pPr>
      <w:r w:rsidRPr="00B611DD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886674D" w:rsidR="00ED052F" w:rsidRPr="00B611DD" w:rsidRDefault="00ED052F" w:rsidP="00ED052F">
      <w:pPr>
        <w:pStyle w:val="Heading3"/>
        <w:keepNext w:val="0"/>
        <w:rPr>
          <w:vertAlign w:val="superscript"/>
        </w:rPr>
      </w:pPr>
      <w:bookmarkStart w:id="0" w:name="_Hlk192492312"/>
      <w:r w:rsidRPr="00B611DD">
        <w:t>FDA-approved Indications</w:t>
      </w:r>
      <w:r w:rsidR="00631A89" w:rsidRPr="00B611DD">
        <w:rPr>
          <w:vertAlign w:val="superscript"/>
        </w:rPr>
        <w:t>1</w:t>
      </w:r>
    </w:p>
    <w:p w14:paraId="6757D0E4" w14:textId="77777777" w:rsidR="003B0D7B" w:rsidRDefault="00631A89" w:rsidP="00631A89">
      <w:pPr>
        <w:pStyle w:val="BodyText"/>
      </w:pPr>
      <w:proofErr w:type="spellStart"/>
      <w:r w:rsidRPr="00B611DD">
        <w:t>Fabhalta</w:t>
      </w:r>
      <w:proofErr w:type="spellEnd"/>
      <w:r w:rsidRPr="00B611DD">
        <w:t xml:space="preserve"> is indicated for</w:t>
      </w:r>
      <w:r w:rsidR="003B0D7B">
        <w:t>:</w:t>
      </w:r>
    </w:p>
    <w:p w14:paraId="1F8C6B1E" w14:textId="7B75E050" w:rsidR="00631A89" w:rsidRDefault="003B0D7B" w:rsidP="003B0D7B">
      <w:pPr>
        <w:pStyle w:val="ListParagraph"/>
      </w:pPr>
      <w:r>
        <w:t>T</w:t>
      </w:r>
      <w:r w:rsidR="00631A89" w:rsidRPr="00B611DD">
        <w:t>reatment of adult</w:t>
      </w:r>
      <w:r w:rsidR="00BB6972">
        <w:t>s</w:t>
      </w:r>
      <w:r w:rsidR="00631A89" w:rsidRPr="00B611DD">
        <w:t xml:space="preserve"> with paroxysmal nocturnal hemoglobinuria (PNH).</w:t>
      </w:r>
    </w:p>
    <w:p w14:paraId="0B6E1627" w14:textId="3097735D" w:rsidR="00990F90" w:rsidRDefault="003B0D7B" w:rsidP="00E34C22">
      <w:pPr>
        <w:pStyle w:val="ListParagraph"/>
        <w:spacing w:after="120"/>
      </w:pPr>
      <w:r>
        <w:t>To r</w:t>
      </w:r>
      <w:r w:rsidRPr="00965195">
        <w:t>educe proteinuria in adults with primary immunoglobulin A nephropathy (</w:t>
      </w:r>
      <w:proofErr w:type="spellStart"/>
      <w:r w:rsidRPr="00965195">
        <w:t>IgAN</w:t>
      </w:r>
      <w:proofErr w:type="spellEnd"/>
      <w:r w:rsidRPr="00965195">
        <w:t xml:space="preserve">) at risk of rapid disease progression, generally a urine protein-to-creatinine ratio (UPCR) </w:t>
      </w:r>
      <w:r w:rsidRPr="00990F90">
        <w:rPr>
          <w:rFonts w:ascii="Arial" w:hAnsi="Arial"/>
        </w:rPr>
        <w:t>≥</w:t>
      </w:r>
      <w:r w:rsidRPr="00965195">
        <w:t>1.5 g/g.</w:t>
      </w:r>
    </w:p>
    <w:p w14:paraId="4FE459B0" w14:textId="5498F7FA" w:rsidR="003B0D7B" w:rsidRDefault="003B0D7B" w:rsidP="00990F90">
      <w:pPr>
        <w:pStyle w:val="ListParagraph"/>
        <w:numPr>
          <w:ilvl w:val="1"/>
          <w:numId w:val="21"/>
        </w:numPr>
        <w:spacing w:after="120"/>
      </w:pPr>
      <w:r w:rsidRPr="003B0D7B">
        <w:t xml:space="preserve">This indication is approved under accelerated approval based on reduction of proteinuria. It has not been established whether </w:t>
      </w:r>
      <w:proofErr w:type="spellStart"/>
      <w:r w:rsidRPr="003B0D7B">
        <w:t>Fabhalta</w:t>
      </w:r>
      <w:proofErr w:type="spellEnd"/>
      <w:r w:rsidRPr="003B0D7B">
        <w:t xml:space="preserve"> slows kidney function decline in patients with </w:t>
      </w:r>
      <w:proofErr w:type="spellStart"/>
      <w:r w:rsidRPr="003B0D7B">
        <w:t>IgAN</w:t>
      </w:r>
      <w:proofErr w:type="spellEnd"/>
      <w:r w:rsidRPr="003B0D7B">
        <w:t>. Continued approval for this indication may be contingent upon verification and description of clinical benefit in a confirmatory clinical trial.</w:t>
      </w:r>
    </w:p>
    <w:p w14:paraId="6BB67937" w14:textId="4E4D3FCC" w:rsidR="00BB6972" w:rsidRPr="003B0D7B" w:rsidRDefault="00BB6972" w:rsidP="002A3E94">
      <w:pPr>
        <w:pStyle w:val="ListParagraph"/>
      </w:pPr>
      <w:r>
        <w:t xml:space="preserve">Treatment of adults with </w:t>
      </w:r>
      <w:r w:rsidRPr="00BB6972">
        <w:t>complement 3 glomerulopathy (C3G), to reduce proteinuria.</w:t>
      </w:r>
    </w:p>
    <w:bookmarkEnd w:id="0"/>
    <w:p w14:paraId="3717EA0E" w14:textId="44AECE68" w:rsidR="00631A89" w:rsidRPr="00B611DD" w:rsidRDefault="00631A89" w:rsidP="00631A89">
      <w:pPr>
        <w:pStyle w:val="BodyText"/>
      </w:pPr>
      <w:r w:rsidRPr="00B611DD">
        <w:t>All other indications are considered experimental/investigational and not medically necessary.</w:t>
      </w:r>
    </w:p>
    <w:p w14:paraId="36381B6D" w14:textId="18D3659E" w:rsidR="000D2496" w:rsidRPr="00B611DD" w:rsidRDefault="000D2496" w:rsidP="000D2496">
      <w:pPr>
        <w:pStyle w:val="Heading2"/>
        <w:rPr>
          <w:rFonts w:eastAsia="Arial"/>
        </w:rPr>
      </w:pPr>
      <w:r w:rsidRPr="00B611DD">
        <w:lastRenderedPageBreak/>
        <w:t>Documentation</w:t>
      </w:r>
    </w:p>
    <w:p w14:paraId="4EB8E132" w14:textId="77777777" w:rsidR="00631A89" w:rsidRDefault="00631A89" w:rsidP="00631A89">
      <w:pPr>
        <w:pStyle w:val="BodyText"/>
      </w:pPr>
      <w:r>
        <w:t>Submission of the following information is necessary to initiate the prior authorization review:</w:t>
      </w:r>
    </w:p>
    <w:p w14:paraId="7DA6B341" w14:textId="01E46E0B" w:rsidR="003B0D7B" w:rsidRDefault="00631A89" w:rsidP="003B0D7B">
      <w:r>
        <w:t>For initial requests:</w:t>
      </w:r>
    </w:p>
    <w:p w14:paraId="25A41767" w14:textId="77E62D89" w:rsidR="00631A89" w:rsidRDefault="003B0D7B" w:rsidP="003B0D7B">
      <w:pPr>
        <w:pStyle w:val="ListParagraph"/>
      </w:pPr>
      <w:r w:rsidRPr="003B0D7B">
        <w:t>Paroxysmal nocturnal hemoglobinuria</w:t>
      </w:r>
      <w:r w:rsidR="00737C50">
        <w:t xml:space="preserve"> (PNH)</w:t>
      </w:r>
      <w:r w:rsidRPr="003B0D7B">
        <w:t xml:space="preserve">: </w:t>
      </w:r>
      <w:r w:rsidR="00631A89">
        <w:t>Flow cytometry used to show results of glycosylphosphatidylinositol-anchored proteins (GPI-APs) deficiency.</w:t>
      </w:r>
    </w:p>
    <w:p w14:paraId="23EA289F" w14:textId="77777777" w:rsidR="003B0D7B" w:rsidRDefault="003B0D7B" w:rsidP="003B0D7B">
      <w:pPr>
        <w:pStyle w:val="ListParagraph"/>
      </w:pPr>
      <w:r w:rsidRPr="003B0D7B">
        <w:t>Primary immunoglobin A nephropathy (</w:t>
      </w:r>
      <w:proofErr w:type="spellStart"/>
      <w:r w:rsidRPr="003B0D7B">
        <w:t>IgAN</w:t>
      </w:r>
      <w:proofErr w:type="spellEnd"/>
      <w:r w:rsidRPr="003B0D7B">
        <w:t>):</w:t>
      </w:r>
    </w:p>
    <w:p w14:paraId="26C2CF54" w14:textId="335E5491" w:rsidR="003B0D7B" w:rsidRDefault="003B0D7B" w:rsidP="003B0D7B">
      <w:pPr>
        <w:pStyle w:val="ListParagraph"/>
        <w:numPr>
          <w:ilvl w:val="1"/>
          <w:numId w:val="21"/>
        </w:numPr>
      </w:pPr>
      <w:r>
        <w:t>Kidney biopsy confirming a diagnosis of primary immunoglobulin A nephropathy (</w:t>
      </w:r>
      <w:proofErr w:type="spellStart"/>
      <w:r>
        <w:t>IgAN</w:t>
      </w:r>
      <w:proofErr w:type="spellEnd"/>
      <w:r>
        <w:t>).</w:t>
      </w:r>
    </w:p>
    <w:p w14:paraId="36B79E54" w14:textId="44DF1DD6" w:rsidR="003B0D7B" w:rsidRDefault="003B0D7B" w:rsidP="003E0653">
      <w:pPr>
        <w:pStyle w:val="ListParagraph"/>
        <w:numPr>
          <w:ilvl w:val="1"/>
          <w:numId w:val="21"/>
        </w:numPr>
      </w:pPr>
      <w:r>
        <w:t>Laboratory report and/or chart note(s) indicating the member has proteinuria greater than or equal to 1 g/day or baseline UPCR greater than or equal to 0.8 g/g.</w:t>
      </w:r>
    </w:p>
    <w:p w14:paraId="3A7D1EE6" w14:textId="11D96DA6" w:rsidR="00BB6972" w:rsidRDefault="00BB6972" w:rsidP="00BB6972">
      <w:pPr>
        <w:pStyle w:val="ListParagraph"/>
      </w:pPr>
      <w:r>
        <w:t>C</w:t>
      </w:r>
      <w:r w:rsidRPr="00BB6972">
        <w:t>omplement 3 glomerulopathy (C3G)</w:t>
      </w:r>
      <w:r w:rsidRPr="003B0D7B">
        <w:t>:</w:t>
      </w:r>
    </w:p>
    <w:p w14:paraId="6D171EF7" w14:textId="40CA5E15" w:rsidR="00BB6972" w:rsidRDefault="00BB6972" w:rsidP="00BB6972">
      <w:pPr>
        <w:pStyle w:val="ListParagraph"/>
        <w:numPr>
          <w:ilvl w:val="1"/>
          <w:numId w:val="21"/>
        </w:numPr>
      </w:pPr>
      <w:r>
        <w:t xml:space="preserve">Kidney biopsy confirming a diagnosis of </w:t>
      </w:r>
      <w:r w:rsidRPr="00BB6972">
        <w:t>complement 3 glomerulopathy (C3G)</w:t>
      </w:r>
      <w:r>
        <w:t>.</w:t>
      </w:r>
    </w:p>
    <w:p w14:paraId="30FC20B3" w14:textId="17E135B2" w:rsidR="00BB6972" w:rsidRDefault="00BB6972" w:rsidP="00BB6972">
      <w:pPr>
        <w:pStyle w:val="ListParagraph"/>
        <w:numPr>
          <w:ilvl w:val="1"/>
          <w:numId w:val="21"/>
        </w:numPr>
      </w:pPr>
      <w:r>
        <w:t xml:space="preserve">Laboratory report and/or chart note(s) indicating the member has proteinuria greater than or equal to 1 g/day or baseline UPCR greater than or equal to </w:t>
      </w:r>
      <w:r w:rsidR="00F94223">
        <w:t>1</w:t>
      </w:r>
      <w:r>
        <w:t>.</w:t>
      </w:r>
      <w:r w:rsidR="00F94223">
        <w:t>0</w:t>
      </w:r>
      <w:r>
        <w:t xml:space="preserve"> g/g.</w:t>
      </w:r>
    </w:p>
    <w:p w14:paraId="0B90E87E" w14:textId="31D742E2" w:rsidR="00F72D9C" w:rsidRDefault="00F72D9C" w:rsidP="00BB6972">
      <w:pPr>
        <w:pStyle w:val="ListParagraph"/>
        <w:numPr>
          <w:ilvl w:val="1"/>
          <w:numId w:val="21"/>
        </w:numPr>
      </w:pPr>
      <w:r>
        <w:t>Laboratory report and/or chart note(s) showing a reduction in serum C3.</w:t>
      </w:r>
    </w:p>
    <w:p w14:paraId="20F46CDB" w14:textId="07171103" w:rsidR="003B0D7B" w:rsidRDefault="00631A89" w:rsidP="003B0D7B">
      <w:r>
        <w:t>For continuation requests:</w:t>
      </w:r>
    </w:p>
    <w:p w14:paraId="49DBEDB4" w14:textId="737DC9E2" w:rsidR="00631A89" w:rsidRDefault="003B0D7B" w:rsidP="003B0D7B">
      <w:pPr>
        <w:pStyle w:val="ListParagraph"/>
      </w:pPr>
      <w:r w:rsidRPr="003B0D7B">
        <w:t>Paroxysmal nocturnal hemoglobinuria</w:t>
      </w:r>
      <w:r w:rsidR="00737C50">
        <w:t xml:space="preserve"> (PNH)</w:t>
      </w:r>
      <w:r w:rsidRPr="003B0D7B">
        <w:t xml:space="preserve">: </w:t>
      </w:r>
      <w:r w:rsidR="00631A89">
        <w:t>Chart notes or medical record documentation supporting positive clinical response.</w:t>
      </w:r>
    </w:p>
    <w:p w14:paraId="7A15232B" w14:textId="1AF457EA" w:rsidR="003B0D7B" w:rsidRDefault="003B0D7B" w:rsidP="003B0D7B">
      <w:pPr>
        <w:pStyle w:val="ListParagraph"/>
      </w:pPr>
      <w:r w:rsidRPr="003B0D7B">
        <w:t>Primary immunoglobin A nephropathy (</w:t>
      </w:r>
      <w:proofErr w:type="spellStart"/>
      <w:r w:rsidRPr="003B0D7B">
        <w:t>IgAN</w:t>
      </w:r>
      <w:proofErr w:type="spellEnd"/>
      <w:r w:rsidRPr="003B0D7B">
        <w:t>): Laboratory report and/or chart note(s) indicating the member has decreased levels of proteinuria or UPCR from baseline.</w:t>
      </w:r>
    </w:p>
    <w:p w14:paraId="3A7F2684" w14:textId="7FC48512" w:rsidR="00F94223" w:rsidRPr="00631A89" w:rsidRDefault="00F94223" w:rsidP="00F94223">
      <w:pPr>
        <w:pStyle w:val="ListParagraph"/>
      </w:pPr>
      <w:r>
        <w:t>C</w:t>
      </w:r>
      <w:r w:rsidRPr="00BB6972">
        <w:t>omplement 3 glomerulopathy (C3G)</w:t>
      </w:r>
      <w:r w:rsidRPr="003B0D7B">
        <w:t>: Laboratory report and/or chart note(s) indicating the member has decreased levels of proteinuria or UPCR from baseline.</w:t>
      </w:r>
    </w:p>
    <w:p w14:paraId="50A38FBA" w14:textId="00EE0F2E" w:rsidR="00FE0C63" w:rsidRPr="00B611DD" w:rsidRDefault="00685107" w:rsidP="00E050E1">
      <w:pPr>
        <w:pStyle w:val="Heading2"/>
      </w:pPr>
      <w:r>
        <w:t>Coverage Criteria</w:t>
      </w:r>
    </w:p>
    <w:p w14:paraId="00D68D13" w14:textId="463D0F41" w:rsidR="00631A89" w:rsidRPr="00B611DD" w:rsidRDefault="00631A89" w:rsidP="00631A89">
      <w:pPr>
        <w:pStyle w:val="Heading3"/>
      </w:pPr>
      <w:r w:rsidRPr="00B611DD">
        <w:t xml:space="preserve">Paroxysmal </w:t>
      </w:r>
      <w:r w:rsidR="00737C50">
        <w:t>N</w:t>
      </w:r>
      <w:r w:rsidRPr="00B611DD">
        <w:t xml:space="preserve">octurnal </w:t>
      </w:r>
      <w:r w:rsidR="00737C50">
        <w:t>H</w:t>
      </w:r>
      <w:r w:rsidRPr="00B611DD">
        <w:t>emoglobinuria</w:t>
      </w:r>
      <w:r w:rsidR="00737C50">
        <w:t xml:space="preserve"> (PNH)</w:t>
      </w:r>
      <w:r w:rsidRPr="00B611DD">
        <w:rPr>
          <w:vertAlign w:val="superscript"/>
        </w:rPr>
        <w:t>1-</w:t>
      </w:r>
      <w:r w:rsidR="00324386">
        <w:rPr>
          <w:vertAlign w:val="superscript"/>
        </w:rPr>
        <w:t>6</w:t>
      </w:r>
    </w:p>
    <w:p w14:paraId="41EEB4D2" w14:textId="77777777" w:rsidR="00631A89" w:rsidRPr="00B611DD" w:rsidRDefault="00631A89" w:rsidP="00631A89">
      <w:pPr>
        <w:pStyle w:val="BodyText"/>
      </w:pPr>
      <w:r w:rsidRPr="00B611DD">
        <w:t>Authorization of 6 months may be granted for treatment of paroxysmal nocturnal hemoglobinuria (PNH) when all of the following criteria are met:</w:t>
      </w:r>
    </w:p>
    <w:p w14:paraId="16B4D93D" w14:textId="13B454E7" w:rsidR="003B0D7B" w:rsidRPr="00B611DD" w:rsidRDefault="00631A89" w:rsidP="003B0D7B">
      <w:pPr>
        <w:pStyle w:val="ListParagraph"/>
        <w:rPr>
          <w:color w:val="auto"/>
        </w:rPr>
      </w:pPr>
      <w:r w:rsidRPr="00B611DD">
        <w:rPr>
          <w:color w:val="auto"/>
        </w:rPr>
        <w:t xml:space="preserve">The diagnosis of PNH was confirmed by detecting a deficiency of glycosylphosphatidylinositol-anchored proteins (GPI-APs) </w:t>
      </w:r>
      <w:r w:rsidR="003B0D7B" w:rsidRPr="003B0D7B">
        <w:rPr>
          <w:color w:val="auto"/>
        </w:rPr>
        <w:t>(e.g., at least 5% PNH cells, at least 51% of GPI-AP deficient poly-morphonuclear cells).</w:t>
      </w:r>
    </w:p>
    <w:p w14:paraId="510A10FB" w14:textId="77777777" w:rsidR="003B0D7B" w:rsidRDefault="003B0D7B" w:rsidP="003B0D7B">
      <w:pPr>
        <w:pStyle w:val="ListParagraph"/>
      </w:pPr>
      <w:r>
        <w:t>Flow cytometry is used to demonstrate GPI-APs deficiency.</w:t>
      </w:r>
    </w:p>
    <w:p w14:paraId="298BB67C" w14:textId="12443D2B" w:rsidR="00631A89" w:rsidRPr="00B611DD" w:rsidRDefault="003B0D7B" w:rsidP="003B0D7B">
      <w:pPr>
        <w:pStyle w:val="ListParagraph"/>
      </w:pPr>
      <w:r w:rsidRPr="002A1BA5">
        <w:t>Member has and exhibits clinical manifestations of disease (e.g., LDH &gt; 1.5 ULN, thrombosis, renal dysfunction, pulmonary hypertension, dysphagia)</w:t>
      </w:r>
      <w:r>
        <w:t>.</w:t>
      </w:r>
    </w:p>
    <w:p w14:paraId="5A0EA6AA" w14:textId="6FE48265" w:rsidR="00631A89" w:rsidRDefault="00631A89" w:rsidP="00631A89">
      <w:pPr>
        <w:pStyle w:val="ListParagraph"/>
        <w:rPr>
          <w:color w:val="auto"/>
        </w:rPr>
      </w:pPr>
      <w:r w:rsidRPr="00B611DD">
        <w:rPr>
          <w:color w:val="auto"/>
        </w:rPr>
        <w:t xml:space="preserve">The requested medication will not be used in combination with another complement inhibitor (e.g., </w:t>
      </w:r>
      <w:proofErr w:type="spellStart"/>
      <w:r w:rsidRPr="00B611DD">
        <w:rPr>
          <w:color w:val="auto"/>
        </w:rPr>
        <w:t>Empaveli</w:t>
      </w:r>
      <w:proofErr w:type="spellEnd"/>
      <w:r w:rsidRPr="00B611DD">
        <w:rPr>
          <w:color w:val="auto"/>
        </w:rPr>
        <w:t>, Piasky, Soliris, Ultomiris) for the treatment of PNH.</w:t>
      </w:r>
    </w:p>
    <w:p w14:paraId="3209B3B2" w14:textId="7E1D8964" w:rsidR="00CC6B96" w:rsidRPr="00F653E6" w:rsidRDefault="00CC6B96" w:rsidP="00CC6B96">
      <w:pPr>
        <w:pStyle w:val="Heading3"/>
        <w:spacing w:after="0"/>
      </w:pPr>
      <w:r w:rsidRPr="00F653E6">
        <w:lastRenderedPageBreak/>
        <w:t>Primary immunoglobulin A nephropathy (</w:t>
      </w:r>
      <w:proofErr w:type="spellStart"/>
      <w:r w:rsidRPr="00F653E6">
        <w:t>IgAN</w:t>
      </w:r>
      <w:proofErr w:type="spellEnd"/>
      <w:r w:rsidRPr="00F653E6">
        <w:t>)</w:t>
      </w:r>
      <w:r w:rsidRPr="00F653E6">
        <w:rPr>
          <w:vertAlign w:val="superscript"/>
        </w:rPr>
        <w:t>1</w:t>
      </w:r>
      <w:r>
        <w:rPr>
          <w:vertAlign w:val="superscript"/>
        </w:rPr>
        <w:t>,</w:t>
      </w:r>
      <w:r w:rsidR="00324386">
        <w:rPr>
          <w:vertAlign w:val="superscript"/>
        </w:rPr>
        <w:t>7</w:t>
      </w:r>
    </w:p>
    <w:p w14:paraId="393F784D" w14:textId="4C0DC091" w:rsidR="00CC6B96" w:rsidRPr="00F653E6" w:rsidRDefault="00CC6B96" w:rsidP="00CC6B96">
      <w:pPr>
        <w:pStyle w:val="BodyText"/>
      </w:pPr>
      <w:r w:rsidRPr="00F653E6">
        <w:t xml:space="preserve">Authorization of </w:t>
      </w:r>
      <w:r>
        <w:t>12</w:t>
      </w:r>
      <w:r w:rsidRPr="00F653E6">
        <w:t xml:space="preserve"> months may be granted </w:t>
      </w:r>
      <w:r w:rsidR="00F94223">
        <w:t>for treatment of p</w:t>
      </w:r>
      <w:r w:rsidR="00F94223" w:rsidRPr="00F653E6">
        <w:t>rimary immunoglobulin A nephropathy (</w:t>
      </w:r>
      <w:proofErr w:type="spellStart"/>
      <w:r w:rsidR="00F94223" w:rsidRPr="00F653E6">
        <w:t>IgAN</w:t>
      </w:r>
      <w:proofErr w:type="spellEnd"/>
      <w:r w:rsidR="00F94223" w:rsidRPr="00F653E6">
        <w:t>)</w:t>
      </w:r>
      <w:r w:rsidR="00F94223">
        <w:t xml:space="preserve"> </w:t>
      </w:r>
      <w:r w:rsidRPr="00F653E6">
        <w:t>when all of the following criteria are met:</w:t>
      </w:r>
    </w:p>
    <w:p w14:paraId="52F6E422" w14:textId="56B9909B" w:rsidR="00CC6B96" w:rsidRPr="00001D50" w:rsidRDefault="00CC6B96" w:rsidP="00CC6B96">
      <w:pPr>
        <w:pStyle w:val="ListParagraph"/>
        <w:numPr>
          <w:ilvl w:val="0"/>
          <w:numId w:val="35"/>
        </w:numPr>
        <w:ind w:left="720"/>
        <w:contextualSpacing w:val="0"/>
      </w:pPr>
      <w:r w:rsidRPr="00001D50">
        <w:t>Member has a diagnosis of primary immunoglobulin A nephropathy (</w:t>
      </w:r>
      <w:proofErr w:type="spellStart"/>
      <w:r w:rsidRPr="00001D50">
        <w:t>IgAN</w:t>
      </w:r>
      <w:proofErr w:type="spellEnd"/>
      <w:r w:rsidRPr="00001D50">
        <w:t>) confirmed by kidney biopsy.</w:t>
      </w:r>
    </w:p>
    <w:p w14:paraId="7F99B110" w14:textId="77777777" w:rsidR="00476266" w:rsidRDefault="00476266" w:rsidP="00476266">
      <w:pPr>
        <w:pStyle w:val="ListParagraph"/>
        <w:numPr>
          <w:ilvl w:val="0"/>
          <w:numId w:val="35"/>
        </w:numPr>
        <w:ind w:left="720"/>
        <w:contextualSpacing w:val="0"/>
      </w:pPr>
      <w:r w:rsidRPr="00001D50">
        <w:t xml:space="preserve">Member has </w:t>
      </w:r>
      <w:r>
        <w:t>either of the following:</w:t>
      </w:r>
    </w:p>
    <w:p w14:paraId="462AA228" w14:textId="77777777" w:rsidR="00476266" w:rsidRPr="00CC6B96" w:rsidRDefault="00476266" w:rsidP="00476266">
      <w:pPr>
        <w:pStyle w:val="ListParagraph"/>
        <w:numPr>
          <w:ilvl w:val="1"/>
          <w:numId w:val="21"/>
        </w:numPr>
      </w:pPr>
      <w:r>
        <w:t>P</w:t>
      </w:r>
      <w:r w:rsidRPr="00CC6B96">
        <w:t xml:space="preserve">roteinuria </w:t>
      </w:r>
      <w:r w:rsidRPr="00001D50">
        <w:t>greater than or equal to 1 g/day</w:t>
      </w:r>
      <w:r>
        <w:t>.</w:t>
      </w:r>
    </w:p>
    <w:p w14:paraId="6C9BAF5F" w14:textId="77777777" w:rsidR="00476266" w:rsidRPr="00CC6B96" w:rsidRDefault="00476266" w:rsidP="00476266">
      <w:pPr>
        <w:pStyle w:val="ListParagraph"/>
        <w:numPr>
          <w:ilvl w:val="1"/>
          <w:numId w:val="21"/>
        </w:numPr>
      </w:pPr>
      <w:r w:rsidRPr="00001D50">
        <w:t>UPCR greater than or equal to 0.8 g/g</w:t>
      </w:r>
      <w:r w:rsidRPr="00CC6B96">
        <w:t>.</w:t>
      </w:r>
    </w:p>
    <w:p w14:paraId="2DA930D9" w14:textId="5C6F6DD1" w:rsidR="00F94223" w:rsidRDefault="00CC6B96" w:rsidP="002A3E94">
      <w:pPr>
        <w:pStyle w:val="ListParagraph"/>
        <w:numPr>
          <w:ilvl w:val="0"/>
          <w:numId w:val="35"/>
        </w:numPr>
        <w:ind w:left="720"/>
        <w:contextualSpacing w:val="0"/>
      </w:pPr>
      <w:r w:rsidRPr="00001D50">
        <w:t>Member has received a stable dose of maximally tolerated renin-angiotensin system (RAS) inhibitor therapy (e.g., angiotensin converting enzyme inhibitor [ACEI] or angiotensin II receptor blocker [ARB]) for at least 3 months prior to initiation of therapy, or member has an intolerance or contraindication to RAS inhibitors.</w:t>
      </w:r>
    </w:p>
    <w:p w14:paraId="245955CF" w14:textId="4E2CB684" w:rsidR="00F94223" w:rsidRPr="00F653E6" w:rsidRDefault="00F94223" w:rsidP="00F94223">
      <w:pPr>
        <w:pStyle w:val="Heading3"/>
        <w:spacing w:after="0"/>
      </w:pPr>
      <w:bookmarkStart w:id="1" w:name="_Hlk194482302"/>
      <w:r>
        <w:t>C</w:t>
      </w:r>
      <w:r w:rsidRPr="00BB6972">
        <w:t>omplement 3 glomerulopathy (C3G)</w:t>
      </w:r>
      <w:bookmarkEnd w:id="1"/>
      <w:r w:rsidRPr="00F653E6">
        <w:rPr>
          <w:vertAlign w:val="superscript"/>
        </w:rPr>
        <w:t>1</w:t>
      </w:r>
      <w:r>
        <w:rPr>
          <w:vertAlign w:val="superscript"/>
        </w:rPr>
        <w:t>,7</w:t>
      </w:r>
    </w:p>
    <w:p w14:paraId="123DA30B" w14:textId="2704F895" w:rsidR="00F94223" w:rsidRPr="00F653E6" w:rsidRDefault="00F94223" w:rsidP="00F94223">
      <w:pPr>
        <w:pStyle w:val="BodyText"/>
      </w:pPr>
      <w:r w:rsidRPr="00F653E6">
        <w:t xml:space="preserve">Authorization of </w:t>
      </w:r>
      <w:r>
        <w:t>12</w:t>
      </w:r>
      <w:r w:rsidRPr="00F653E6">
        <w:t xml:space="preserve"> months may be granted</w:t>
      </w:r>
      <w:r>
        <w:t xml:space="preserve"> for treatment of complement 3 glomerulopathy (C3G)</w:t>
      </w:r>
      <w:r w:rsidRPr="00F653E6">
        <w:t xml:space="preserve"> when all of the following criteria are met:</w:t>
      </w:r>
    </w:p>
    <w:p w14:paraId="61A4A35A" w14:textId="3890781C" w:rsidR="00F94223" w:rsidRPr="00001D50" w:rsidRDefault="00F94223" w:rsidP="00F94223">
      <w:pPr>
        <w:pStyle w:val="ListParagraph"/>
        <w:numPr>
          <w:ilvl w:val="0"/>
          <w:numId w:val="35"/>
        </w:numPr>
        <w:ind w:left="720"/>
        <w:contextualSpacing w:val="0"/>
      </w:pPr>
      <w:r w:rsidRPr="00001D50">
        <w:t xml:space="preserve">Member has a diagnosis of </w:t>
      </w:r>
      <w:r>
        <w:t>complement 3 glomerulopathy (C3G)</w:t>
      </w:r>
      <w:r w:rsidRPr="00001D50">
        <w:t xml:space="preserve"> confirmed by kidney biopsy.</w:t>
      </w:r>
    </w:p>
    <w:p w14:paraId="041BA30B" w14:textId="77777777" w:rsidR="00F94223" w:rsidRDefault="00F94223" w:rsidP="00F94223">
      <w:pPr>
        <w:pStyle w:val="ListParagraph"/>
        <w:numPr>
          <w:ilvl w:val="0"/>
          <w:numId w:val="35"/>
        </w:numPr>
        <w:ind w:left="720"/>
        <w:contextualSpacing w:val="0"/>
      </w:pPr>
      <w:r w:rsidRPr="00001D50">
        <w:t xml:space="preserve">Member has </w:t>
      </w:r>
      <w:r>
        <w:t>either of the following:</w:t>
      </w:r>
    </w:p>
    <w:p w14:paraId="334A8D53" w14:textId="77777777" w:rsidR="00F94223" w:rsidRPr="00CC6B96" w:rsidRDefault="00F94223" w:rsidP="00F94223">
      <w:pPr>
        <w:pStyle w:val="ListParagraph"/>
        <w:numPr>
          <w:ilvl w:val="1"/>
          <w:numId w:val="21"/>
        </w:numPr>
      </w:pPr>
      <w:r>
        <w:t>P</w:t>
      </w:r>
      <w:r w:rsidRPr="00CC6B96">
        <w:t xml:space="preserve">roteinuria </w:t>
      </w:r>
      <w:r w:rsidRPr="00001D50">
        <w:t>greater than or equal to 1 g/day</w:t>
      </w:r>
      <w:r>
        <w:t>.</w:t>
      </w:r>
    </w:p>
    <w:p w14:paraId="4E1C890F" w14:textId="18BBFAFC" w:rsidR="00F94223" w:rsidRDefault="00F94223" w:rsidP="00F94223">
      <w:pPr>
        <w:pStyle w:val="ListParagraph"/>
        <w:numPr>
          <w:ilvl w:val="1"/>
          <w:numId w:val="21"/>
        </w:numPr>
      </w:pPr>
      <w:r w:rsidRPr="00001D50">
        <w:t xml:space="preserve">UPCR greater than or equal to </w:t>
      </w:r>
      <w:r>
        <w:t>1</w:t>
      </w:r>
      <w:r w:rsidRPr="00001D50">
        <w:t>.</w:t>
      </w:r>
      <w:r>
        <w:t>0</w:t>
      </w:r>
      <w:r w:rsidRPr="00001D50">
        <w:t xml:space="preserve"> g/g</w:t>
      </w:r>
      <w:r w:rsidRPr="00CC6B96">
        <w:t>.</w:t>
      </w:r>
    </w:p>
    <w:p w14:paraId="6D78BD73" w14:textId="10A6D54B" w:rsidR="00F94223" w:rsidRPr="00CC6B96" w:rsidRDefault="003B7B25" w:rsidP="002A3E94">
      <w:pPr>
        <w:pStyle w:val="ListParagraph"/>
      </w:pPr>
      <w:r>
        <w:t>Member has r</w:t>
      </w:r>
      <w:r w:rsidRPr="003B7B25">
        <w:t xml:space="preserve">educed serum C3 (defined as less than 0.85 </w:t>
      </w:r>
      <w:r>
        <w:t>times the lower limit of normal</w:t>
      </w:r>
      <w:r w:rsidR="00EF02D2">
        <w:t xml:space="preserve"> per the reference ranges provided</w:t>
      </w:r>
      <w:r w:rsidRPr="003B7B25">
        <w:t xml:space="preserve">) at </w:t>
      </w:r>
      <w:r>
        <w:t xml:space="preserve">baseline. </w:t>
      </w:r>
    </w:p>
    <w:p w14:paraId="44A9A34D" w14:textId="2A416704" w:rsidR="00F94223" w:rsidRPr="00001D50" w:rsidRDefault="00F94223" w:rsidP="00F94223">
      <w:pPr>
        <w:pStyle w:val="ListParagraph"/>
        <w:numPr>
          <w:ilvl w:val="0"/>
          <w:numId w:val="35"/>
        </w:numPr>
        <w:ind w:left="720"/>
        <w:contextualSpacing w:val="0"/>
      </w:pPr>
      <w:r w:rsidRPr="00001D50">
        <w:t>Member has received a stable dose of maximally tolerated renin-angiotensin system (RAS) inhibitor therapy (e.g., angiotensin converting enzyme inhibitor [ACEI] or angiotensin II receptor blocker [ARB]) for at least 3 months prior to initiation of therapy, or member has an intolerance or contraindication to RAS inhibitors.</w:t>
      </w:r>
    </w:p>
    <w:p w14:paraId="3A643EC3" w14:textId="47C914B4" w:rsidR="00A501AC" w:rsidRPr="00B611DD" w:rsidRDefault="00A501AC" w:rsidP="00A501AC">
      <w:pPr>
        <w:pStyle w:val="Heading2"/>
      </w:pPr>
      <w:r w:rsidRPr="00B611DD">
        <w:t>Continuation of Therapy</w:t>
      </w:r>
    </w:p>
    <w:p w14:paraId="386E0660" w14:textId="5B02977F" w:rsidR="00631A89" w:rsidRDefault="00631A89" w:rsidP="00631A89">
      <w:pPr>
        <w:pStyle w:val="Heading3"/>
      </w:pPr>
      <w:r>
        <w:t xml:space="preserve">Paroxysmal </w:t>
      </w:r>
      <w:r w:rsidR="00737C50">
        <w:t>N</w:t>
      </w:r>
      <w:r>
        <w:t xml:space="preserve">octurnal </w:t>
      </w:r>
      <w:r w:rsidR="00737C50">
        <w:t>H</w:t>
      </w:r>
      <w:r>
        <w:t>emoglobinuria</w:t>
      </w:r>
      <w:r w:rsidR="00737C50">
        <w:t xml:space="preserve"> (PNH)</w:t>
      </w:r>
    </w:p>
    <w:p w14:paraId="6FF77115" w14:textId="27ED6A12" w:rsidR="00631A89" w:rsidRDefault="00631A89" w:rsidP="00631A89">
      <w:pPr>
        <w:pStyle w:val="BodyText"/>
      </w:pPr>
      <w:r>
        <w:t>Authorization of 12 months may be granted for continued treatment in members requesting reauthorization when all of the following criteria are met:</w:t>
      </w:r>
    </w:p>
    <w:p w14:paraId="02BA152A" w14:textId="77777777" w:rsidR="00631A89" w:rsidRDefault="00631A89" w:rsidP="00631A89">
      <w:pPr>
        <w:pStyle w:val="ListParagraph"/>
      </w:pPr>
      <w:r>
        <w:t>There is no evidence of unacceptable toxicity or disease progression while on the current regimen.</w:t>
      </w:r>
    </w:p>
    <w:p w14:paraId="37CA9A57" w14:textId="77777777" w:rsidR="00631A89" w:rsidRDefault="00631A89" w:rsidP="00631A89">
      <w:pPr>
        <w:pStyle w:val="ListParagraph"/>
      </w:pPr>
      <w:r>
        <w:t>The member demonstrates a positive response to therapy (e.g., improvement in hemoglobin levels, normalization of lactate dehydrogenase [LDH] levels).</w:t>
      </w:r>
    </w:p>
    <w:p w14:paraId="0F734B68" w14:textId="5A0AED42" w:rsidR="00B611DD" w:rsidRDefault="00631A89" w:rsidP="00467433">
      <w:pPr>
        <w:pStyle w:val="ListParagraph"/>
      </w:pPr>
      <w:r>
        <w:lastRenderedPageBreak/>
        <w:t xml:space="preserve">The requested medication will not be used in combination with another complement inhibitor (e.g., </w:t>
      </w:r>
      <w:proofErr w:type="spellStart"/>
      <w:r>
        <w:t>Empaveli</w:t>
      </w:r>
      <w:proofErr w:type="spellEnd"/>
      <w:r>
        <w:t>, Piasky, Soliris, Ultomiris) for the treatment of PNH.</w:t>
      </w:r>
      <w:bookmarkStart w:id="2" w:name="S2.2"/>
      <w:bookmarkStart w:id="3" w:name="section-2.2"/>
      <w:bookmarkStart w:id="4" w:name="section-2.2.1"/>
      <w:bookmarkStart w:id="5" w:name="section-2.2.2"/>
      <w:bookmarkEnd w:id="2"/>
      <w:bookmarkEnd w:id="3"/>
      <w:bookmarkEnd w:id="4"/>
      <w:bookmarkEnd w:id="5"/>
    </w:p>
    <w:p w14:paraId="0A49E0A8" w14:textId="3BA7725A" w:rsidR="00CC6B96" w:rsidRPr="003E0653" w:rsidRDefault="00CC6B96" w:rsidP="003E0653">
      <w:pPr>
        <w:pStyle w:val="Heading3"/>
      </w:pPr>
      <w:r w:rsidRPr="003E0653">
        <w:t xml:space="preserve">Primary </w:t>
      </w:r>
      <w:r w:rsidR="00737C50">
        <w:t>I</w:t>
      </w:r>
      <w:r w:rsidRPr="003E0653">
        <w:t xml:space="preserve">mmunoglobulin A </w:t>
      </w:r>
      <w:r w:rsidR="00737C50">
        <w:t>N</w:t>
      </w:r>
      <w:r w:rsidRPr="003E0653">
        <w:t>ephropathy (</w:t>
      </w:r>
      <w:proofErr w:type="spellStart"/>
      <w:r w:rsidRPr="003E0653">
        <w:t>IgAN</w:t>
      </w:r>
      <w:proofErr w:type="spellEnd"/>
      <w:r w:rsidRPr="003E0653">
        <w:t>)</w:t>
      </w:r>
    </w:p>
    <w:p w14:paraId="4F3C3D36" w14:textId="25633991" w:rsidR="00CC6B96" w:rsidRPr="00CC6B96" w:rsidRDefault="00CC6B96" w:rsidP="003E0653">
      <w:pPr>
        <w:pStyle w:val="BodyText"/>
      </w:pPr>
      <w:r w:rsidRPr="00CC6B96">
        <w:t>Authorization of 12 months may be granted for continued treatment in members requesting reauthorization when all of the following criteria are met:</w:t>
      </w:r>
    </w:p>
    <w:p w14:paraId="55051296" w14:textId="77777777" w:rsidR="00CC6B96" w:rsidRPr="00CC6B96" w:rsidRDefault="00CC6B96" w:rsidP="003E0653">
      <w:pPr>
        <w:pStyle w:val="ListParagraph"/>
      </w:pPr>
      <w:r w:rsidRPr="00CC6B96">
        <w:t>There is no evidence of unacceptable toxicity or disease progression while on the current regimen.</w:t>
      </w:r>
    </w:p>
    <w:p w14:paraId="3EA6F9C1" w14:textId="44921C80" w:rsidR="00CC6B96" w:rsidRPr="00CC6B96" w:rsidRDefault="00CC6B96" w:rsidP="003E0653">
      <w:pPr>
        <w:pStyle w:val="ListParagraph"/>
      </w:pPr>
      <w:r w:rsidRPr="00CC6B96">
        <w:t>The member is experiencing benefit from therapy as evidenced by either of the following:</w:t>
      </w:r>
    </w:p>
    <w:p w14:paraId="26C84538" w14:textId="76C00B9D" w:rsidR="00CC6B96" w:rsidRPr="00CC6B96" w:rsidRDefault="00CC6B96" w:rsidP="003E0653">
      <w:pPr>
        <w:pStyle w:val="ListParagraph"/>
        <w:numPr>
          <w:ilvl w:val="1"/>
          <w:numId w:val="21"/>
        </w:numPr>
      </w:pPr>
      <w:r w:rsidRPr="00CC6B96">
        <w:t>Decreased levels of proteinuria from baseline.</w:t>
      </w:r>
    </w:p>
    <w:p w14:paraId="6C144298" w14:textId="451105A2" w:rsidR="00CC6B96" w:rsidRDefault="00CC6B96" w:rsidP="003E0653">
      <w:pPr>
        <w:pStyle w:val="ListParagraph"/>
        <w:numPr>
          <w:ilvl w:val="1"/>
          <w:numId w:val="21"/>
        </w:numPr>
      </w:pPr>
      <w:r w:rsidRPr="00CC6B96">
        <w:t>Decrease in UPCR from baseline.</w:t>
      </w:r>
    </w:p>
    <w:p w14:paraId="7AE289FC" w14:textId="77777777" w:rsidR="00F72D9C" w:rsidRDefault="00F72D9C" w:rsidP="00F72D9C"/>
    <w:p w14:paraId="26047915" w14:textId="3DA9A82F" w:rsidR="00F72D9C" w:rsidRDefault="00F72D9C" w:rsidP="00F72D9C">
      <w:pPr>
        <w:pStyle w:val="BodyText"/>
        <w:rPr>
          <w:bCs/>
          <w:sz w:val="32"/>
          <w:szCs w:val="32"/>
        </w:rPr>
      </w:pPr>
      <w:r w:rsidRPr="00F72D9C">
        <w:rPr>
          <w:bCs/>
          <w:sz w:val="32"/>
          <w:szCs w:val="32"/>
        </w:rPr>
        <w:t xml:space="preserve">Complement 3 </w:t>
      </w:r>
      <w:r w:rsidR="00737C50">
        <w:rPr>
          <w:bCs/>
          <w:sz w:val="32"/>
          <w:szCs w:val="32"/>
        </w:rPr>
        <w:t>G</w:t>
      </w:r>
      <w:r w:rsidRPr="00F72D9C">
        <w:rPr>
          <w:bCs/>
          <w:sz w:val="32"/>
          <w:szCs w:val="32"/>
        </w:rPr>
        <w:t>lomerulopathy (C3G)</w:t>
      </w:r>
    </w:p>
    <w:p w14:paraId="27BB6C31" w14:textId="36D50A9A" w:rsidR="00F72D9C" w:rsidRPr="00CC6B96" w:rsidRDefault="00F72D9C" w:rsidP="00F72D9C">
      <w:pPr>
        <w:pStyle w:val="BodyText"/>
      </w:pPr>
      <w:r w:rsidRPr="00CC6B96">
        <w:t>Authorization of 12 months may be granted for continued treatment in members requesting reauthorization when all of the following criteria are met:</w:t>
      </w:r>
    </w:p>
    <w:p w14:paraId="5C324F25" w14:textId="77777777" w:rsidR="00F72D9C" w:rsidRPr="00CC6B96" w:rsidRDefault="00F72D9C" w:rsidP="00F72D9C">
      <w:pPr>
        <w:pStyle w:val="ListParagraph"/>
      </w:pPr>
      <w:r w:rsidRPr="00CC6B96">
        <w:t>There is no evidence of unacceptable toxicity or disease progression while on the current regimen.</w:t>
      </w:r>
    </w:p>
    <w:p w14:paraId="111312E4" w14:textId="77777777" w:rsidR="00F72D9C" w:rsidRPr="00CC6B96" w:rsidRDefault="00F72D9C" w:rsidP="00F72D9C">
      <w:pPr>
        <w:pStyle w:val="ListParagraph"/>
      </w:pPr>
      <w:r w:rsidRPr="00CC6B96">
        <w:t>The member is experiencing benefit from therapy as evidenced by either of the following:</w:t>
      </w:r>
    </w:p>
    <w:p w14:paraId="23C85D24" w14:textId="77777777" w:rsidR="00F72D9C" w:rsidRPr="00CC6B96" w:rsidRDefault="00F72D9C" w:rsidP="00F72D9C">
      <w:pPr>
        <w:pStyle w:val="ListParagraph"/>
        <w:numPr>
          <w:ilvl w:val="1"/>
          <w:numId w:val="21"/>
        </w:numPr>
      </w:pPr>
      <w:r w:rsidRPr="00CC6B96">
        <w:t>Decreased levels of proteinuria from baseline.</w:t>
      </w:r>
    </w:p>
    <w:p w14:paraId="0400DD1A" w14:textId="3DD5FF18" w:rsidR="00F72D9C" w:rsidRPr="00CC6B96" w:rsidRDefault="00F72D9C" w:rsidP="00F72D9C">
      <w:pPr>
        <w:pStyle w:val="ListParagraph"/>
        <w:numPr>
          <w:ilvl w:val="1"/>
          <w:numId w:val="21"/>
        </w:numPr>
      </w:pPr>
      <w:r w:rsidRPr="00CC6B96">
        <w:t>Decrease in UPCR from baseline.</w:t>
      </w:r>
    </w:p>
    <w:p w14:paraId="10DA4309" w14:textId="50CF0DB7" w:rsidR="00FF66BF" w:rsidRPr="008D1B34" w:rsidRDefault="00FF66BF" w:rsidP="00B611DD">
      <w:pPr>
        <w:pStyle w:val="Heading2"/>
      </w:pPr>
      <w:r w:rsidRPr="008D1B34">
        <w:t>References</w:t>
      </w:r>
    </w:p>
    <w:p w14:paraId="53CBDF68" w14:textId="5DF6F203" w:rsidR="00631A89" w:rsidRDefault="00631A89" w:rsidP="00631A89">
      <w:pPr>
        <w:pStyle w:val="ReferenceOrdered"/>
      </w:pPr>
      <w:proofErr w:type="spellStart"/>
      <w:r>
        <w:t>Fabhalta</w:t>
      </w:r>
      <w:proofErr w:type="spellEnd"/>
      <w:r>
        <w:t xml:space="preserve"> [package insert]. East Hanover, NJ: Novartis Pharmaceuticals Corporation; </w:t>
      </w:r>
      <w:r w:rsidR="00F72D9C">
        <w:t>March</w:t>
      </w:r>
      <w:r>
        <w:t xml:space="preserve"> 202</w:t>
      </w:r>
      <w:r w:rsidR="00F72D9C">
        <w:t>5</w:t>
      </w:r>
      <w:r>
        <w:t>.</w:t>
      </w:r>
    </w:p>
    <w:p w14:paraId="4F467FBB" w14:textId="77777777" w:rsidR="00631A89" w:rsidRDefault="00631A89" w:rsidP="00631A89">
      <w:pPr>
        <w:pStyle w:val="ReferenceOrdered"/>
      </w:pPr>
      <w:r>
        <w:t>Parker CJ. Management of paroxysmal nocturnal hemoglobinuria in the era of complement inhibitory therapy. Hematology. 2011; 21-29.</w:t>
      </w:r>
    </w:p>
    <w:p w14:paraId="2826E4D6" w14:textId="77777777" w:rsidR="00C174BB" w:rsidRDefault="00631A89" w:rsidP="00631A89">
      <w:pPr>
        <w:pStyle w:val="ReferenceOrdered"/>
      </w:pPr>
      <w:r w:rsidRPr="00C174BB">
        <w:rPr>
          <w:lang w:val="nb-NO"/>
        </w:rPr>
        <w:t xml:space="preserve">Borowitz MJ, Craig F, DiGiuseppe JA, et al. </w:t>
      </w:r>
      <w:r>
        <w:t xml:space="preserve">Guidelines for the Diagnosis and Monitoring of Paroxysmal Nocturnal Hemoglobinuria and Related Disorders by Flow Cytometry. Cytometry B Clin </w:t>
      </w:r>
      <w:proofErr w:type="spellStart"/>
      <w:r>
        <w:t>Cytom</w:t>
      </w:r>
      <w:proofErr w:type="spellEnd"/>
      <w:r>
        <w:t>. 2010: 78: 211-230.</w:t>
      </w:r>
    </w:p>
    <w:p w14:paraId="18875195" w14:textId="77777777" w:rsidR="00631A89" w:rsidRDefault="00631A89" w:rsidP="00631A89">
      <w:pPr>
        <w:pStyle w:val="ReferenceOrdered"/>
      </w:pPr>
      <w:proofErr w:type="spellStart"/>
      <w:r>
        <w:t>Preis</w:t>
      </w:r>
      <w:proofErr w:type="spellEnd"/>
      <w:r>
        <w:t xml:space="preserve"> M, Lowrey CH. Laboratory tests for paroxysmal nocturnal hemoglobinuria (PNH). Am J </w:t>
      </w:r>
      <w:proofErr w:type="spellStart"/>
      <w:r>
        <w:t>Hematol</w:t>
      </w:r>
      <w:proofErr w:type="spellEnd"/>
      <w:r>
        <w:t>. 2014;89(3):339-341.</w:t>
      </w:r>
    </w:p>
    <w:p w14:paraId="32AAAEB7" w14:textId="77777777" w:rsidR="00B611DD" w:rsidRDefault="00631A89" w:rsidP="00631A89">
      <w:pPr>
        <w:pStyle w:val="ReferenceOrdered"/>
      </w:pPr>
      <w:r>
        <w:t xml:space="preserve">Parker CJ. Update on the diagnosis and management of paroxysmal nocturnal hemoglobinuria. Hematology Am Soc </w:t>
      </w:r>
      <w:proofErr w:type="spellStart"/>
      <w:r>
        <w:t>Hematol</w:t>
      </w:r>
      <w:proofErr w:type="spellEnd"/>
      <w:r>
        <w:t xml:space="preserve"> Educ Program. 2016;2016(1):208-216.</w:t>
      </w:r>
    </w:p>
    <w:p w14:paraId="44491515" w14:textId="77777777" w:rsidR="00631A89" w:rsidRDefault="00631A89" w:rsidP="00631A89">
      <w:pPr>
        <w:pStyle w:val="ReferenceOrdered"/>
      </w:pPr>
      <w:proofErr w:type="spellStart"/>
      <w:r>
        <w:t>Dezern</w:t>
      </w:r>
      <w:proofErr w:type="spellEnd"/>
      <w:r>
        <w:t xml:space="preserve"> AE, Borowitz MJ. ICCS/ESCCA consensus guidelines to detect GPI-deficient cells in paroxysmal nocturnal hemoglobinuria (PNH) and related disorders part 1 - clinical utility. Cytometry B Clin </w:t>
      </w:r>
      <w:proofErr w:type="spellStart"/>
      <w:r>
        <w:t>Cytom</w:t>
      </w:r>
      <w:proofErr w:type="spellEnd"/>
      <w:r>
        <w:t>. 2018 Jan;94(1):16-22.</w:t>
      </w:r>
    </w:p>
    <w:p w14:paraId="04CBB22F" w14:textId="77777777" w:rsidR="00476266" w:rsidRDefault="00CC6B96" w:rsidP="00CC6B96">
      <w:pPr>
        <w:pStyle w:val="ReferenceOrdered"/>
      </w:pPr>
      <w:r w:rsidRPr="00A5723B">
        <w:t xml:space="preserve">Kidney Disease: Improving Global Outcomes (KDIGO) Glomerular Diseases Work Group. KDIGO 2021 Clinical Practice Guideline for the Management of Glomerular Diseases. Kidney Int. 2021 Oct; 100 (4S): S1-S276. </w:t>
      </w:r>
      <w:proofErr w:type="spellStart"/>
      <w:r w:rsidRPr="00A5723B">
        <w:t>doi</w:t>
      </w:r>
      <w:proofErr w:type="spellEnd"/>
      <w:r w:rsidRPr="00A5723B">
        <w:t>: 10.1016/j.kint.2021.05.021.</w:t>
      </w:r>
    </w:p>
    <w:sectPr w:rsidR="00476266" w:rsidSect="000E4737">
      <w:type w:val="continuous"/>
      <w:pgSz w:w="12240" w:h="15840" w:code="1"/>
      <w:pgMar w:top="900" w:right="720" w:bottom="990" w:left="720" w:header="720" w:footer="594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30BCD" w14:textId="77777777" w:rsidR="00646994" w:rsidRDefault="00646994">
      <w:r>
        <w:separator/>
      </w:r>
    </w:p>
  </w:endnote>
  <w:endnote w:type="continuationSeparator" w:id="0">
    <w:p w14:paraId="22EDDAFA" w14:textId="77777777" w:rsidR="00646994" w:rsidRDefault="00646994">
      <w:r>
        <w:continuationSeparator/>
      </w:r>
    </w:p>
  </w:endnote>
  <w:endnote w:type="continuationNotice" w:id="1">
    <w:p w14:paraId="1E395F03" w14:textId="77777777" w:rsidR="00646994" w:rsidRDefault="006469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BBE719F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E4737" w:rsidRPr="000E4737">
      <w:rPr>
        <w:rFonts w:cs="Arial"/>
        <w:noProof/>
        <w:sz w:val="16"/>
        <w:szCs w:val="16"/>
      </w:rPr>
      <w:t>Fabhalta</w:t>
    </w:r>
    <w:r w:rsidR="000E4737">
      <w:rPr>
        <w:rFonts w:cs="Arial"/>
        <w:noProof/>
        <w:snapToGrid w:val="0"/>
        <w:color w:val="000000"/>
        <w:sz w:val="16"/>
        <w:szCs w:val="16"/>
      </w:rPr>
      <w:t xml:space="preserve"> SGM 6288-A</w:t>
    </w:r>
    <w:r w:rsidR="000E4737" w:rsidRPr="000E4737">
      <w:rPr>
        <w:rFonts w:cs="Arial"/>
        <w:noProof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3F7ABDE6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A9BA154" w14:textId="77777777" w:rsidR="00C36B72" w:rsidRPr="00EC47B6" w:rsidRDefault="00C36B72" w:rsidP="00C36B7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91B2486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E4737" w:rsidRPr="000E4737">
      <w:rPr>
        <w:rFonts w:cs="Arial"/>
        <w:noProof/>
        <w:sz w:val="16"/>
        <w:szCs w:val="16"/>
      </w:rPr>
      <w:t>Fabhalta</w:t>
    </w:r>
    <w:r w:rsidR="000E4737">
      <w:rPr>
        <w:rFonts w:cs="Arial"/>
        <w:noProof/>
        <w:snapToGrid w:val="0"/>
        <w:color w:val="000000"/>
        <w:sz w:val="16"/>
        <w:szCs w:val="16"/>
      </w:rPr>
      <w:t xml:space="preserve"> SGM 6288-A</w:t>
    </w:r>
    <w:r w:rsidR="000E4737" w:rsidRPr="000E4737">
      <w:rPr>
        <w:rFonts w:cs="Arial"/>
        <w:noProof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3B0D7B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3DF06C3F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11D3145F" w14:textId="77777777" w:rsidR="00F50D98" w:rsidRPr="00EC47B6" w:rsidRDefault="00F50D98" w:rsidP="00F50D98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4CE50" w14:textId="77777777" w:rsidR="00646994" w:rsidRDefault="00646994">
      <w:r>
        <w:separator/>
      </w:r>
    </w:p>
  </w:footnote>
  <w:footnote w:type="continuationSeparator" w:id="0">
    <w:p w14:paraId="23EF3200" w14:textId="77777777" w:rsidR="00646994" w:rsidRDefault="00646994">
      <w:r>
        <w:continuationSeparator/>
      </w:r>
    </w:p>
  </w:footnote>
  <w:footnote w:type="continuationNotice" w:id="1">
    <w:p w14:paraId="732807E3" w14:textId="77777777" w:rsidR="00646994" w:rsidRDefault="006469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46C3C1F9" w:rsidR="00ED04EC" w:rsidRPr="004C7F1D" w:rsidRDefault="00631A89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6288-A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54193"/>
    <w:multiLevelType w:val="hybridMultilevel"/>
    <w:tmpl w:val="3536E0C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6280636"/>
    <w:multiLevelType w:val="hybridMultilevel"/>
    <w:tmpl w:val="678E1E52"/>
    <w:lvl w:ilvl="0" w:tplc="0409000F">
      <w:start w:val="1"/>
      <w:numFmt w:val="decimal"/>
      <w:lvlText w:val="%1."/>
      <w:lvlJc w:val="left"/>
      <w:pPr>
        <w:ind w:left="1800" w:hanging="360"/>
      </w:pPr>
      <w:rPr>
        <w:color w:val="auto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15">
      <w:start w:val="1"/>
      <w:numFmt w:val="upperLetter"/>
      <w:lvlText w:val="%4."/>
      <w:lvlJc w:val="left"/>
      <w:pPr>
        <w:ind w:left="1800" w:hanging="360"/>
      </w:pPr>
    </w:lvl>
    <w:lvl w:ilvl="4" w:tplc="04090019">
      <w:start w:val="1"/>
      <w:numFmt w:val="lowerLetter"/>
      <w:lvlText w:val="%5."/>
      <w:lvlJc w:val="left"/>
      <w:pPr>
        <w:ind w:left="2520" w:hanging="360"/>
      </w:pPr>
    </w:lvl>
    <w:lvl w:ilvl="5" w:tplc="0409001B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01D0ECF"/>
    <w:multiLevelType w:val="hybridMultilevel"/>
    <w:tmpl w:val="794CB3C6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2FAF2CC">
      <w:start w:val="1"/>
      <w:numFmt w:val="lowerRoman"/>
      <w:lvlText w:val="%2."/>
      <w:lvlJc w:val="left"/>
      <w:pPr>
        <w:ind w:left="306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EB0ED2"/>
    <w:multiLevelType w:val="hybridMultilevel"/>
    <w:tmpl w:val="9C3E90F4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0C5CBB"/>
    <w:multiLevelType w:val="hybridMultilevel"/>
    <w:tmpl w:val="840E70F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5273D77"/>
    <w:multiLevelType w:val="hybridMultilevel"/>
    <w:tmpl w:val="824AD8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9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1"/>
  </w:num>
  <w:num w:numId="17" w16cid:durableId="2128498676">
    <w:abstractNumId w:val="33"/>
  </w:num>
  <w:num w:numId="18" w16cid:durableId="299724409">
    <w:abstractNumId w:val="25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34"/>
  </w:num>
  <w:num w:numId="22" w16cid:durableId="1472481103">
    <w:abstractNumId w:val="28"/>
  </w:num>
  <w:num w:numId="23" w16cid:durableId="1997420403">
    <w:abstractNumId w:val="30"/>
  </w:num>
  <w:num w:numId="24" w16cid:durableId="33312838">
    <w:abstractNumId w:val="26"/>
  </w:num>
  <w:num w:numId="25" w16cid:durableId="507404939">
    <w:abstractNumId w:val="20"/>
  </w:num>
  <w:num w:numId="26" w16cid:durableId="1950313333">
    <w:abstractNumId w:val="23"/>
  </w:num>
  <w:num w:numId="27" w16cid:durableId="1866016584">
    <w:abstractNumId w:val="22"/>
  </w:num>
  <w:num w:numId="28" w16cid:durableId="2136829394">
    <w:abstractNumId w:val="34"/>
  </w:num>
  <w:num w:numId="29" w16cid:durableId="1416240359">
    <w:abstractNumId w:val="34"/>
  </w:num>
  <w:num w:numId="30" w16cid:durableId="769159457">
    <w:abstractNumId w:val="32"/>
  </w:num>
  <w:num w:numId="31" w16cid:durableId="1602452347">
    <w:abstractNumId w:val="34"/>
  </w:num>
  <w:num w:numId="32" w16cid:durableId="623924299">
    <w:abstractNumId w:val="34"/>
  </w:num>
  <w:num w:numId="33" w16cid:durableId="743065405">
    <w:abstractNumId w:val="18"/>
  </w:num>
  <w:num w:numId="34" w16cid:durableId="1968703916">
    <w:abstractNumId w:val="17"/>
  </w:num>
  <w:num w:numId="35" w16cid:durableId="794251980">
    <w:abstractNumId w:val="27"/>
  </w:num>
  <w:num w:numId="36" w16cid:durableId="1018122628">
    <w:abstractNumId w:val="31"/>
  </w:num>
  <w:num w:numId="37" w16cid:durableId="1841313502">
    <w:abstractNumId w:val="19"/>
  </w:num>
  <w:num w:numId="38" w16cid:durableId="1604923793">
    <w:abstractNumId w:val="34"/>
  </w:num>
  <w:num w:numId="39" w16cid:durableId="210120743">
    <w:abstractNumId w:val="10"/>
  </w:num>
  <w:num w:numId="40" w16cid:durableId="1293561869">
    <w:abstractNumId w:val="27"/>
  </w:num>
  <w:num w:numId="41" w16cid:durableId="672924393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4C8F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2B50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4737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25B4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2A5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3BD8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21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BD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6E83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3E94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5E0"/>
    <w:rsid w:val="00302DBD"/>
    <w:rsid w:val="003030D7"/>
    <w:rsid w:val="0030361E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4386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C38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742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0D7B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B25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0653"/>
    <w:rsid w:val="003E17CC"/>
    <w:rsid w:val="003E1C0F"/>
    <w:rsid w:val="003E260D"/>
    <w:rsid w:val="003E28D8"/>
    <w:rsid w:val="003E3201"/>
    <w:rsid w:val="003E33A0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1DB1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266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1B0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1869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0AA5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0059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3981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02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A89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6994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DD3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5869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5BCC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37C50"/>
    <w:rsid w:val="0074014C"/>
    <w:rsid w:val="007415DE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57D71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39E3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0F2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38F0"/>
    <w:rsid w:val="008646F4"/>
    <w:rsid w:val="00864778"/>
    <w:rsid w:val="008663DC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A35"/>
    <w:rsid w:val="00890CE6"/>
    <w:rsid w:val="00890EB7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474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1AC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0F90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B7B79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3F3C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17E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A32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55A0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8B0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1DD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972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074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4BB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185F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577F5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8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35A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B96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86F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385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2D2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CD4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D9C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50B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223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04F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  <w:style w:type="character" w:customStyle="1" w:styleId="ui-provider">
    <w:name w:val="ui-provider"/>
    <w:basedOn w:val="DefaultParagraphFont"/>
    <w:rsid w:val="006D5869"/>
  </w:style>
  <w:style w:type="paragraph" w:customStyle="1" w:styleId="ReferenceInternalOrdered">
    <w:name w:val="Reference Internal Ordered"/>
    <w:basedOn w:val="ReferenceOrdered"/>
    <w:rsid w:val="00324386"/>
    <w:pPr>
      <w:numPr>
        <w:numId w:val="41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79360B-C8CF-425A-9C15-1A0143C6BF0D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1048</Words>
  <Characters>6829</Characters>
  <Application>Microsoft Office Word</Application>
  <DocSecurity>0</DocSecurity>
  <Lines>145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Fabhalta SGM 6288-A</vt:lpstr>
    </vt:vector>
  </TitlesOfParts>
  <Company>CVS Caremark</Company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Fabhalta SGM 6288-A</dc:title>
  <dc:subject>Fabhalta SGM 6288-A</dc:subject>
  <dc:creator>CVS Caremark</dc:creator>
  <cp:keywords/>
  <cp:lastModifiedBy>Reynoso, Victor H</cp:lastModifiedBy>
  <cp:revision>3</cp:revision>
  <cp:lastPrinted>2018-01-09T11:01:00Z</cp:lastPrinted>
  <dcterms:created xsi:type="dcterms:W3CDTF">2025-05-09T17:51:00Z</dcterms:created>
  <dcterms:modified xsi:type="dcterms:W3CDTF">2025-05-09T17:52:00Z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1570400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